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Regulated-Product Plan — Project Workbook</w:t>
      </w:r>
    </w:p>
    <w:p>
      <w:pPr/>
      <w:r>
        <w:rPr>
          <w:color w:val="475569"/>
        </w:rPr>
        <w:t xml:space="preserve">Capstone project for “Building a Fintech in Nigeria: Licences, Partners, Compliance &amp; Unit Economics” · Business ·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link (Google Drive folder, Notion page or PDF set to 'anyone with the link') containing the product and money map, the licence-or-partner route with sources, the compliance map table, the unit-economics spreadsheet, the dated 90-day MVP sequence, and the graveyard test.</w:t>
      </w:r>
    </w:p>
    <w:p>
      <w:pPr>
        <w:pStyle w:val="Heading1"/>
      </w:pPr>
      <w:r>
        <w:t xml:space="preserve">What to do, step by step</w:t>
      </w:r>
    </w:p>
    <w:p>
      <w:pPr>
        <w:pStyle w:val="Heading2"/>
      </w:pPr>
      <w:r>
        <w:t xml:space="preserve">Step 1 of 6</w:t>
      </w:r>
    </w:p>
    <w:p>
      <w:pPr/>
      <w:r>
        <w:t xml:space="preserve">Product and money map (300-500 words plus a diagram): describe one fintech product you would build. Draw every point where it touches money: who pays in, where the money sits, who moves it, who pays out, and what your company touches directly. Classify it (payments, wallet, lending, savings/investment, crypto, insurance, infrastructure) and name the primary regulator and any secondary ones.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Licence-or-partner route: state whether you will licence or partner at launch and why. If licensing, name the exact CBN or SEC category, its minimum capital and escrow, the holding-company or ring-fencing implication, and a realistic timeline. If partnering, name at least two candidate licensed partners (bank, MMO, PSSP, fund manager, insurer or CBN-licensed lender), what each contract must cover, and what you will still be liable for yourself. Cite the source and date of every figure.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Compliance map (a table): the KYC tier you need and what you will collect; the BVN/NIN verification method; your AML monitoring and reporting plan; NDPA obligations (NDPC registration category, DPO, DPIA, breach process); the APP-fraud and chargeback process with the timelines from the rules; and the customer-support and complaint channel. For each row, name who owns it in your team.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Unit-economics sheet (spreadsheet, shared): a per-transaction P&amp;L for one representative transaction showing every fee in and every cost out (rail fees, stamp duty, gateway or partner fee, KYC lookup cost, fraud reserve, support, VAT on fees), and a monthly P&amp;L at 10,000 active users with your assumptions stated. Show the break-even number of users or transactions and the one assumption the whole model depends 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90-day legal MVP: the smallest version that can go live without breaking a rule, listed as a dated sequence (CAC, partner agreement, NDPC registration, product build, pilot, sandbox or licence application). State the three features you deliberately left out and the rule or cost that made you leave them out.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Graveyard test (300-500 words): using the failure patterns from Lesson 11, name the three most likely ways your product dies, and for each, one thing in the plan that reduces that risk. Put everything in one shared document or folder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money map is complete and honest: every point where money is touched is drawn, the product is correctly classified, and the primary and secondary regulators are correctly identified</w:t>
            </w:r>
          </w:p>
        </w:tc>
        <w:tc>
          <w:tcPr>
            <w:tcW w:w="1200" w:type="dxa"/>
          </w:tcPr>
          <w:p>
            <w:pPr/>
            <w:r>
              <w:t xml:space="preserve">15%</w:t>
            </w:r>
          </w:p>
        </w:tc>
        <w:tc>
          <w:tcPr>
            <w:tcW w:w="2000" w:type="dxa"/>
          </w:tcPr>
          <w:p>
            <w:pPr/>
            <w:r>
              <w:t xml:space="preserve"/>
            </w:r>
          </w:p>
        </w:tc>
      </w:tr>
      <w:tr>
        <w:tc>
          <w:tcPr>
            <w:tcW w:w="6000" w:type="dxa"/>
          </w:tcPr>
          <w:p>
            <w:pPr/>
            <w:r>
              <w:t xml:space="preserve">The licence-or-partner route is realistic and sourced: the correct licence category with current capital, escrow and structure rules, or named candidate partners with a clear statement of what the partnership does and does not cover, every figure dated and sourced</w:t>
            </w:r>
          </w:p>
        </w:tc>
        <w:tc>
          <w:tcPr>
            <w:tcW w:w="1200" w:type="dxa"/>
          </w:tcPr>
          <w:p>
            <w:pPr/>
            <w:r>
              <w:t xml:space="preserve">20%</w:t>
            </w:r>
          </w:p>
        </w:tc>
        <w:tc>
          <w:tcPr>
            <w:tcW w:w="2000" w:type="dxa"/>
          </w:tcPr>
          <w:p>
            <w:pPr/>
            <w:r>
              <w:t xml:space="preserve"/>
            </w:r>
          </w:p>
        </w:tc>
      </w:tr>
      <w:tr>
        <w:tc>
          <w:tcPr>
            <w:tcW w:w="6000" w:type="dxa"/>
          </w:tcPr>
          <w:p>
            <w:pPr/>
            <w:r>
              <w:t xml:space="preserve">The compliance map covers KYC tier and verification, AML monitoring and reporting, NDPA obligations, APP-fraud and chargeback handling with the rule timelines, and complaints — each with a named owner</w:t>
            </w:r>
          </w:p>
        </w:tc>
        <w:tc>
          <w:tcPr>
            <w:tcW w:w="1200" w:type="dxa"/>
          </w:tcPr>
          <w:p>
            <w:pPr/>
            <w:r>
              <w:t xml:space="preserve">20%</w:t>
            </w:r>
          </w:p>
        </w:tc>
        <w:tc>
          <w:tcPr>
            <w:tcW w:w="2000" w:type="dxa"/>
          </w:tcPr>
          <w:p>
            <w:pPr/>
            <w:r>
              <w:t xml:space="preserve"/>
            </w:r>
          </w:p>
        </w:tc>
      </w:tr>
      <w:tr>
        <w:tc>
          <w:tcPr>
            <w:tcW w:w="6000" w:type="dxa"/>
          </w:tcPr>
          <w:p>
            <w:pPr/>
            <w:r>
              <w:t xml:space="preserve">The unit-economics sheet is arithmetically sound, includes every fee and cost the course lists (rails, stamp duty, gateway or partner fee, KYC lookups, fraud reserve, support, VAT), reaches a stated break-even, and names the assumption the model depends on</w:t>
            </w:r>
          </w:p>
        </w:tc>
        <w:tc>
          <w:tcPr>
            <w:tcW w:w="1200" w:type="dxa"/>
          </w:tcPr>
          <w:p>
            <w:pPr/>
            <w:r>
              <w:t xml:space="preserve">25%</w:t>
            </w:r>
          </w:p>
        </w:tc>
        <w:tc>
          <w:tcPr>
            <w:tcW w:w="2000" w:type="dxa"/>
          </w:tcPr>
          <w:p>
            <w:pPr/>
            <w:r>
              <w:t xml:space="preserve"/>
            </w:r>
          </w:p>
        </w:tc>
      </w:tr>
      <w:tr>
        <w:tc>
          <w:tcPr>
            <w:tcW w:w="6000" w:type="dxa"/>
          </w:tcPr>
          <w:p>
            <w:pPr/>
            <w:r>
              <w:t xml:space="preserve">The 90-day MVP is legally launchable in the stated sequence, and the graveyard test names three specific failure modes tied to the course's patterns with a credible mitigation for each</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www.skillnaija.org/#/project/fintech-nigeria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Regulated-Product Plan — Project Workbook</dc:title>
  <dc:creator>Skillnaija</dc:creator>
  <dcterms:created xsi:type="dcterms:W3CDTF">2026-09-08T09:00:00Z</dcterms:created>
  <dcterms:modified xsi:type="dcterms:W3CDTF">2026-09-08T09:00:00Z</dcterms:modified>
</cp:coreProperties>
</file>