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Threshold diagnosis and a full small-business compliance pack — Project Workbook</w:t>
      </w:r>
    </w:p>
    <w:p>
      <w:pPr/>
      <w:r>
        <w:rPr>
          <w:color w:val="475569"/>
        </w:rPr>
        <w:t xml:space="preserve">Capstone project for “Small Business &amp; Sole Trader Tax (Nigeria 2026)” · Business · Beginner-friendly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A shared Google Sheet or Doc link containing: (1) a four-business threshold diagnosis naming the exact disqualifying test for the two trap cases; (2) a sole-trader versus limited-company computation worked band by band with a reasoned recommendation; (3) a four-person payroll table and a complete compliance calendar including nil returns; and (4) a record-keeping system, a sample compliant invoice, and an e-invoicing readiness note.</w:t>
      </w:r>
    </w:p>
    <w:p>
      <w:pPr>
        <w:pStyle w:val="Heading1"/>
      </w:pPr>
      <w:r>
        <w:t xml:space="preserve">What to do, step by step</w:t>
      </w:r>
    </w:p>
    <w:p>
      <w:pPr>
        <w:pStyle w:val="Heading2"/>
      </w:pPr>
      <w:r>
        <w:t xml:space="preserve">Step 1 of 6</w:t>
      </w:r>
    </w:p>
    <w:p>
      <w:pPr/>
      <w:r>
        <w:t xml:space="preserve">Diagnose four businesses. For each of the following, state (a) whether it is a 'small business' under the Nigeria Tax Administration Act definition and why, (b) whether it qualifies as a 'small company' and can rely on 0% companies income tax, and whether the 4% development levy applies to it, (c) whether it must charge VAT, and (d) whether it must deduct withholding tax from its suppliers. Businesses: (1) 'Ogechi Provisions Ltd' — wholesale foodstuff, turnover ₦88,000,000, fixed assets ₦31,000,000, limited company. (2) 'Adeyinka &amp; Co' — a firm of accountants, turnover ₦22,000,000, fixed assets ₦9,000,000. (3) 'Northgate Printing Ltd' — turnover ₦34,000,000 but fixed assets of ₦295,000,000 in presses and a building. (4) 'Kelechi Fabrics' — a registered business name (not a company), turnover ₦19,000,000, fixed assets ₦4,000,000, owner draws everything personally.</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6</w:t>
      </w:r>
    </w:p>
    <w:p>
      <w:pPr/>
      <w:r>
        <w:t xml:space="preserve">For business (2) and business (3), explain in one or two sentences EXACTLY which part of the definition disqualifies them — these are the two traps most people miss.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6</w:t>
      </w:r>
    </w:p>
    <w:p>
      <w:pPr/>
      <w:r>
        <w:t xml:space="preserve">The structure decision. 'Kelechi Fabrics' from Part 1 now makes ₦7,000,000 of annual profit and the owner pays ₦1,600,000 a year in rent. Compute the owner's total 2026 tax (a) as it stands, as a sole proprietor, and (b) if the business incorporated as a limited company qualifying for 0% CIT, with the owner drawing a ₦5,000,000 annual salary (assume basic+housing+transport is 60% of gross and basic is 40% of gross). Show both computations band by band using the 2026 rates, state the difference in naira, and then give a short recommendation that also weighs the costs of incorporating.</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6</w:t>
      </w:r>
    </w:p>
    <w:p>
      <w:pPr/>
      <w:r>
        <w:t xml:space="preserve">The compliance pack. For 'Ogechi Provisions Ltd' (from Part 1), which has four staff earning ₦180,000, ₦130,000, ₦95,000 and ₦70,000 a month, all resident in Abia State, build: (a) a payroll table computing each employee's monthly PAYE under the 2026 bands, assuming basic+housing+transport is 60% of gross, basic is 40% of gross, and declared annual rents of ₦600,000, ₦480,000, ₦360,000 and ₦240,000 respectively; and (b) a complete compliance calendar listing every obligation, the authority it goes to, the frequency and the exact due date — including the returns it must file even where the tax is nil.</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6</w:t>
      </w:r>
    </w:p>
    <w:p>
      <w:pPr/>
      <w:r>
        <w:t xml:space="preserve">Records and readiness. Design the record-keeping system you would set up for Ogechi Provisions Ltd: name the records you would keep, what evidence goes in each, and how long it is retained. Then design a sample sales invoice for the business showing every field a compliant Nigerian invoice must carry, and write 100–150 words on what the company should do now to be ready for e-invoicing when it reaches businesses of its size.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6</w:t>
      </w:r>
    </w:p>
    <w:p>
      <w:pPr/>
      <w:r>
        <w:t xml:space="preserve">Put everything in one shared Google Sheet or Google Doc, set link sharing to 'anyone with the link can view', and submit the link.</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All four businesses are correctly diagnosed against BOTH tests — with the professional-services exclusion identified for the accountancy firm and the ₦250,000,000 fixed-asset breach identified for the printing company</w:t>
            </w:r>
          </w:p>
        </w:tc>
        <w:tc>
          <w:tcPr>
            <w:tcW w:w="1200" w:type="dxa"/>
          </w:tcPr>
          <w:p>
            <w:pPr/>
            <w:r>
              <w:t xml:space="preserve">25%</w:t>
            </w:r>
          </w:p>
        </w:tc>
        <w:tc>
          <w:tcPr>
            <w:tcW w:w="2000" w:type="dxa"/>
          </w:tcPr>
          <w:p>
            <w:pPr/>
            <w:r>
              <w:t xml:space="preserve"/>
            </w:r>
          </w:p>
        </w:tc>
      </w:tr>
      <w:tr>
        <w:tc>
          <w:tcPr>
            <w:tcW w:w="6000" w:type="dxa"/>
          </w:tcPr>
          <w:p>
            <w:pPr/>
            <w:r>
              <w:t xml:space="preserve">The ₦100,000,000 turnover and ₦250,000,000 fixed-asset tests are applied correctly and consistently to BOTH the VAT position and the 0% companies income tax position, and the development levy is correctly ruled out for every qualifying small company</w:t>
            </w:r>
          </w:p>
        </w:tc>
        <w:tc>
          <w:tcPr>
            <w:tcW w:w="1200" w:type="dxa"/>
          </w:tcPr>
          <w:p>
            <w:pPr/>
            <w:r>
              <w:t xml:space="preserve">15%</w:t>
            </w:r>
          </w:p>
        </w:tc>
        <w:tc>
          <w:tcPr>
            <w:tcW w:w="2000" w:type="dxa"/>
          </w:tcPr>
          <w:p>
            <w:pPr/>
            <w:r>
              <w:t xml:space="preserve"/>
            </w:r>
          </w:p>
        </w:tc>
      </w:tr>
      <w:tr>
        <w:tc>
          <w:tcPr>
            <w:tcW w:w="6000" w:type="dxa"/>
          </w:tcPr>
          <w:p>
            <w:pPr/>
            <w:r>
              <w:t xml:space="preserve">The sole-trader versus company computation is correct and graduated — 2026 bands applied slice by slice, rent relief computed as the LOWER of ₦500,000 or 20% of rent, the difference stated in naira, and the costs of incorporating genuinely weighed</w:t>
            </w:r>
          </w:p>
        </w:tc>
        <w:tc>
          <w:tcPr>
            <w:tcW w:w="1200" w:type="dxa"/>
          </w:tcPr>
          <w:p>
            <w:pPr/>
            <w:r>
              <w:t xml:space="preserve">20%</w:t>
            </w:r>
          </w:p>
        </w:tc>
        <w:tc>
          <w:tcPr>
            <w:tcW w:w="2000" w:type="dxa"/>
          </w:tcPr>
          <w:p>
            <w:pPr/>
            <w:r>
              <w:t xml:space="preserve"/>
            </w:r>
          </w:p>
        </w:tc>
      </w:tr>
      <w:tr>
        <w:tc>
          <w:tcPr>
            <w:tcW w:w="6000" w:type="dxa"/>
          </w:tcPr>
          <w:p>
            <w:pPr/>
            <w:r>
              <w:t xml:space="preserve">The payroll is accurate under the 2026 bands, the minimum-wage employee is correctly treated, and PAYE is correctly routed to the Abia State revenue service</w:t>
            </w:r>
          </w:p>
        </w:tc>
        <w:tc>
          <w:tcPr>
            <w:tcW w:w="1200" w:type="dxa"/>
          </w:tcPr>
          <w:p>
            <w:pPr/>
            <w:r>
              <w:t xml:space="preserve">15%</w:t>
            </w:r>
          </w:p>
        </w:tc>
        <w:tc>
          <w:tcPr>
            <w:tcW w:w="2000" w:type="dxa"/>
          </w:tcPr>
          <w:p>
            <w:pPr/>
            <w:r>
              <w:t xml:space="preserve"/>
            </w:r>
          </w:p>
        </w:tc>
      </w:tr>
      <w:tr>
        <w:tc>
          <w:tcPr>
            <w:tcW w:w="6000" w:type="dxa"/>
          </w:tcPr>
          <w:p>
            <w:pPr/>
            <w:r>
              <w:t xml:space="preserve">The compliance calendar is complete and accurate — correct authorities, frequencies and exact due dates, and it explicitly includes the returns that must be filed even where the tax is nil</w:t>
            </w:r>
          </w:p>
        </w:tc>
        <w:tc>
          <w:tcPr>
            <w:tcW w:w="1200" w:type="dxa"/>
          </w:tcPr>
          <w:p>
            <w:pPr/>
            <w:r>
              <w:t xml:space="preserve">15%</w:t>
            </w:r>
          </w:p>
        </w:tc>
        <w:tc>
          <w:tcPr>
            <w:tcW w:w="2000" w:type="dxa"/>
          </w:tcPr>
          <w:p>
            <w:pPr/>
            <w:r>
              <w:t xml:space="preserve"/>
            </w:r>
          </w:p>
        </w:tc>
      </w:tr>
      <w:tr>
        <w:tc>
          <w:tcPr>
            <w:tcW w:w="6000" w:type="dxa"/>
          </w:tcPr>
          <w:p>
            <w:pPr/>
            <w:r>
              <w:t xml:space="preserve">The record-keeping system, sample invoice and e-invoicing note are practical and complete — the invoice carries Tax IDs and a unique sequential number, and the whole pack is organised and usable by a real business</w:t>
            </w:r>
          </w:p>
        </w:tc>
        <w:tc>
          <w:tcPr>
            <w:tcW w:w="1200" w:type="dxa"/>
          </w:tcPr>
          <w:p>
            <w:pPr/>
            <w:r>
              <w:t xml:space="preserve">10%</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www.skillnaija.org/#/project/small-business-tax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Threshold diagnosis and a full small-business compliance pack — Project Workbook</dc:title>
  <dc:creator>Skillnaija</dc:creator>
  <dcterms:created xsi:type="dcterms:W3CDTF">2026-09-08T09:00:00Z</dcterms:created>
  <dcterms:modified xsi:type="dcterms:W3CDTF">2026-09-08T09:00:00Z</dcterms:modified>
</cp:coreProperties>
</file>