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Tax compliance pack for a sample SME (2026 rules) — Project Workbook</w:t>
      </w:r>
    </w:p>
    <w:p>
      <w:pPr/>
      <w:r>
        <w:rPr>
          <w:color w:val="475569"/>
        </w:rPr>
        <w:t xml:space="preserve">Capstone project for “Tax Assistant: Compute, File and Keep Nigerian Businesses Compliant (2026 Rules)” · Finance · Beginner-friendly; basic spreadsheet skills help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Google Sheet or Doc link containing: (1) the records checklist; (2) the PAYE computation per staff member with the monthly remittance total; (3) the month's VAT computation; (4) the WHT register; (5) the CIT and development levy computation with assessable and taxable profit shown separately; (6) Ngozi's PIT computation with WHT credits; and (7) the 12-month filing calendar and the client letter.</w:t>
      </w:r>
    </w:p>
    <w:p>
      <w:pPr>
        <w:pStyle w:val="Heading1"/>
      </w:pPr>
      <w:r>
        <w:t xml:space="preserve">What to do, step by step</w:t>
      </w:r>
    </w:p>
    <w:p>
      <w:pPr>
        <w:pStyle w:val="Heading2"/>
      </w:pPr>
      <w:r>
        <w:t xml:space="preserve">Step 1 of 9</w:t>
      </w:r>
    </w:p>
    <w:p>
      <w:pPr/>
      <w:r>
        <w:t xml:space="preserve">Your client is GreenLeaf Foods Ltd (fictional), a Lagos food company with a December year-end, turnover of ₦180,000,000 and four staff who all live in Lagos: Amaka ₦300,000 a month, Emeka ₦180,000 a month, Bisi ₦120,000 a month and Uche ₦70,000 a month gross. Use only the 2026 rules taught in this course and show every working.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9</w:t>
      </w:r>
    </w:p>
    <w:p>
      <w:pPr/>
      <w:r>
        <w:t xml:space="preserve">Part 1. Tax ID and records: a checklist of the documents you would collect to onboard GreenLeaf (CAC documents, Tax ID verification, payroll, sales and purchase records, fixed asset register, bank statements), how you would file and name them, and how long they must be kept.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9</w:t>
      </w:r>
    </w:p>
    <w:p>
      <w:pPr/>
      <w:r>
        <w:t xml:space="preserve">Part 2. PAYE: assume basic + housing + transport is 60% of gross and basic is 40% of gross, and annual rents of ₦1,200,000, ₦600,000, ₦360,000 and ₦240,000 respectively. For each person, work out the rent relief (the LOWER of ₦500,000 or 20% of annual rent paid), pension at 8% of basic + housing + transport and NHF at 2.5% of basic, the chargeable income, and the tax applying the 2026 bands slice by slice. Show annual and monthly PAYE for each, the monthly total GreenLeaf remits to LIRS, and the due date. Treat the minimum-wage employee correctly. Do NOT use the Consolidated Relief Allowance anywhere: it was abolished on 1 January 2026.</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9</w:t>
      </w:r>
    </w:p>
    <w:p>
      <w:pPr/>
      <w:r>
        <w:t xml:space="preserve">Part 3. VAT for one month: standard-rated sales of ₦12,400,000; VATable purchases of goods of ₦5,200,000; and ₦1,600,000 of professional services and equipment used for the business (all figures before VAT). Compute output VAT and recoverable input VAT at 7.5%, the net payable, to whom and by when, and say in one sentence why the VAT on the services and equipment is recoverable in 2026.</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9</w:t>
      </w:r>
    </w:p>
    <w:p>
      <w:pPr/>
      <w:r>
        <w:t xml:space="preserve">Part 4. WHT register for the same month: GreenLeaf paid (a) a freelance designer, a resident individual, ₦400,000 for a branding job, and (b) a property company ₦2,400,000 rent for its warehouse. For each: the 2026 rate, the amount withheld, the amount the payee receives, the body it is remitted to and why, the due date, and the credit note the payee should receive.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9</w:t>
      </w:r>
    </w:p>
    <w:p>
      <w:pPr/>
      <w:r>
        <w:t xml:space="preserve">Part 5. CIT and the development levy for the year: profit before tax ₦18,000,000, disallowed expenses to add back ₦8,000,000, capital allowances ₦6,000,000. First show whether GreenLeaf is a small company. Then show assessable profit and taxable profit as separate labelled figures, apply the 4% levy and the 30% CIT to the correct base for each, give the total and the filing and payment deadline, and explain in one sentence why the two charges sit on different numbers.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9</w:t>
      </w:r>
    </w:p>
    <w:p>
      <w:pPr/>
      <w:r>
        <w:t xml:space="preserve">Part 6. Self-employed PIT: GreenLeaf's caterer, Ngozi (fictional, self-employed), had 2026 receipts of ₦6,500,000, allowable business expenses of ₦1,900,000, paid ₦1,500,000 rent on her home, and holds WHT credit notes of ₦150,000. Compute her chargeable income, her tax on the 2026 bands slice by slice, the balance she pays after WHT credits, where she files, on which form and by when.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9</w:t>
      </w:r>
    </w:p>
    <w:p>
      <w:pPr/>
      <w:r>
        <w:t xml:space="preserve">Part 7. A 12-month filing calendar for GreenLeaf's 2027 (every obligation: PAYE, VAT, WHT, the employer's annual return, CIT and the levy, with the body, the portal and the exact due date), and a one-page letter to GreenLeaf's owner summarising what is due, when, and anything you would escalate to a chartered tax practitioner.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9 of 9</w:t>
      </w:r>
    </w:p>
    <w:p>
      <w:pPr/>
      <w:r>
        <w:t xml:space="preserve">Put it all in one shared Google Sheet or Doc with clearly labelled sections, set link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Step 9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PAYE is correct under the 2026 rules: rent relief as the LOWER of ₦500,000 or 20% of rent, pension and NHF applied, bands applied slice by slice, the minimum-wage employee exempt, the right remittance body and date, and NO use of the abolished Consolidated Relief Allowance</w:t>
            </w:r>
          </w:p>
        </w:tc>
        <w:tc>
          <w:tcPr>
            <w:tcW w:w="1200" w:type="dxa"/>
          </w:tcPr>
          <w:p>
            <w:pPr/>
            <w:r>
              <w:t xml:space="preserve">25%</w:t>
            </w:r>
          </w:p>
        </w:tc>
        <w:tc>
          <w:tcPr>
            <w:tcW w:w="2000" w:type="dxa"/>
          </w:tcPr>
          <w:p>
            <w:pPr/>
            <w:r>
              <w:t xml:space="preserve"/>
            </w:r>
          </w:p>
        </w:tc>
      </w:tr>
      <w:tr>
        <w:tc>
          <w:tcPr>
            <w:tcW w:w="6000" w:type="dxa"/>
          </w:tcPr>
          <w:p>
            <w:pPr/>
            <w:r>
              <w:t xml:space="preserve">VAT is correct: output and recoverable input VAT at 7.5%, including the services and equipment, the right net payable to the NRS by the 21st, and an accurate reason for the 2026 change</w:t>
            </w:r>
          </w:p>
        </w:tc>
        <w:tc>
          <w:tcPr>
            <w:tcW w:w="1200" w:type="dxa"/>
          </w:tcPr>
          <w:p>
            <w:pPr/>
            <w:r>
              <w:t xml:space="preserve">13%</w:t>
            </w:r>
          </w:p>
        </w:tc>
        <w:tc>
          <w:tcPr>
            <w:tcW w:w="2000" w:type="dxa"/>
          </w:tcPr>
          <w:p>
            <w:pPr/>
            <w:r>
              <w:t xml:space="preserve"/>
            </w:r>
          </w:p>
        </w:tc>
      </w:tr>
      <w:tr>
        <w:tc>
          <w:tcPr>
            <w:tcW w:w="6000" w:type="dxa"/>
          </w:tcPr>
          <w:p>
            <w:pPr/>
            <w:r>
              <w:t xml:space="preserve">The WHT register is correct: 5% on the designer's professional fee remitted to the State IRS (individual payee) and 10% on the rent remitted to the NRS (company payee), with amounts withheld, net payments, due dates and credit notes</w:t>
            </w:r>
          </w:p>
        </w:tc>
        <w:tc>
          <w:tcPr>
            <w:tcW w:w="1200" w:type="dxa"/>
          </w:tcPr>
          <w:p>
            <w:pPr/>
            <w:r>
              <w:t xml:space="preserve">12%</w:t>
            </w:r>
          </w:p>
        </w:tc>
        <w:tc>
          <w:tcPr>
            <w:tcW w:w="2000" w:type="dxa"/>
          </w:tcPr>
          <w:p>
            <w:pPr/>
            <w:r>
              <w:t xml:space="preserve"/>
            </w:r>
          </w:p>
        </w:tc>
      </w:tr>
      <w:tr>
        <w:tc>
          <w:tcPr>
            <w:tcW w:w="6000" w:type="dxa"/>
          </w:tcPr>
          <w:p>
            <w:pPr/>
            <w:r>
              <w:t xml:space="preserve">CIT and the levy are correct: the small-company test applied, assessable and taxable profit labelled separately, the 4% levy on ASSESSABLE profit and 30% CIT on TAXABLE profit, the right total and the six-month deadline</w:t>
            </w:r>
          </w:p>
        </w:tc>
        <w:tc>
          <w:tcPr>
            <w:tcW w:w="1200" w:type="dxa"/>
          </w:tcPr>
          <w:p>
            <w:pPr/>
            <w:r>
              <w:t xml:space="preserve">18%</w:t>
            </w:r>
          </w:p>
        </w:tc>
        <w:tc>
          <w:tcPr>
            <w:tcW w:w="2000" w:type="dxa"/>
          </w:tcPr>
          <w:p>
            <w:pPr/>
            <w:r>
              <w:t xml:space="preserve"/>
            </w:r>
          </w:p>
        </w:tc>
      </w:tr>
      <w:tr>
        <w:tc>
          <w:tcPr>
            <w:tcW w:w="6000" w:type="dxa"/>
          </w:tcPr>
          <w:p>
            <w:pPr/>
            <w:r>
              <w:t xml:space="preserve">Ngozi's PIT is correct: rent relief, bands slice by slice (including the 18% slice), WHT credits deducted, and Form A to the State IRS by 31 March</w:t>
            </w:r>
          </w:p>
        </w:tc>
        <w:tc>
          <w:tcPr>
            <w:tcW w:w="1200" w:type="dxa"/>
          </w:tcPr>
          <w:p>
            <w:pPr/>
            <w:r>
              <w:t xml:space="preserve">12%</w:t>
            </w:r>
          </w:p>
        </w:tc>
        <w:tc>
          <w:tcPr>
            <w:tcW w:w="2000" w:type="dxa"/>
          </w:tcPr>
          <w:p>
            <w:pPr/>
            <w:r>
              <w:t xml:space="preserve"/>
            </w:r>
          </w:p>
        </w:tc>
      </w:tr>
      <w:tr>
        <w:tc>
          <w:tcPr>
            <w:tcW w:w="6000" w:type="dxa"/>
          </w:tcPr>
          <w:p>
            <w:pPr/>
            <w:r>
              <w:t xml:space="preserve">The records checklist, filing calendar and client letter are complete, accurate and usable by a real client, with escalation points noted</w:t>
            </w:r>
          </w:p>
        </w:tc>
        <w:tc>
          <w:tcPr>
            <w:tcW w:w="1200" w:type="dxa"/>
          </w:tcPr>
          <w:p>
            <w:pPr/>
            <w:r>
              <w:t xml:space="preserve">15%</w:t>
            </w:r>
          </w:p>
        </w:tc>
        <w:tc>
          <w:tcPr>
            <w:tcW w:w="2000" w:type="dxa"/>
          </w:tcPr>
          <w:p>
            <w:pPr/>
            <w:r>
              <w:t xml:space="preserve"/>
            </w:r>
          </w:p>
        </w:tc>
      </w:tr>
      <w:tr>
        <w:tc>
          <w:tcPr>
            <w:tcW w:w="6000" w:type="dxa"/>
          </w:tcPr>
          <w:p>
            <w:pPr/>
            <w:r>
              <w:t xml:space="preserve">Clarity and professionalism: labelled sections, workings shown, a working link</w:t>
            </w:r>
          </w:p>
        </w:tc>
        <w:tc>
          <w:tcPr>
            <w:tcW w:w="1200" w:type="dxa"/>
          </w:tcPr>
          <w:p>
            <w:pPr/>
            <w:r>
              <w:t xml:space="preserve">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www.skillnaija.org/#/project/tax-assistant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Tax compliance pack for a sample SME (2026 rules) — Project Workbook</dc:title>
  <dc:creator>Skillnaija</dc:creator>
  <dcterms:created xsi:type="dcterms:W3CDTF">2026-09-08T09:00:00Z</dcterms:created>
  <dcterms:modified xsi:type="dcterms:W3CDTF">2026-09-08T09:00:00Z</dcterms:modified>
</cp:coreProperties>
</file>